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253"/>
      </w:tblGrid>
      <w:tr w:rsidR="005E3518" w:rsidTr="005E3518">
        <w:trPr>
          <w:trHeight w:val="30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518" w:rsidRDefault="005E3518">
            <w:pPr>
              <w:spacing w:after="0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</w:t>
            </w:r>
            <w:r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3518" w:rsidRDefault="008A57FE">
            <w:pPr>
              <w:spacing w:after="0"/>
              <w:ind w:firstLine="555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Бұйрыққа 1</w:t>
            </w:r>
            <w:bookmarkStart w:id="0" w:name="_GoBack"/>
            <w:bookmarkEnd w:id="0"/>
            <w:r w:rsidR="005E3518">
              <w:rPr>
                <w:color w:val="000000"/>
                <w:sz w:val="28"/>
                <w:szCs w:val="28"/>
                <w:lang w:val="kk-KZ"/>
              </w:rPr>
              <w:t>-қосымша</w:t>
            </w:r>
          </w:p>
        </w:tc>
      </w:tr>
    </w:tbl>
    <w:p w:rsidR="001558E4" w:rsidRPr="00F84042" w:rsidRDefault="001558E4" w:rsidP="001024F9">
      <w:pPr>
        <w:pStyle w:val="3"/>
        <w:spacing w:before="0" w:line="240" w:lineRule="atLeast"/>
        <w:ind w:left="6946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EC0844" w:rsidRPr="002B0CB3" w:rsidRDefault="00EC0844" w:rsidP="00AE6953">
      <w:pPr>
        <w:pStyle w:val="3"/>
        <w:spacing w:before="0" w:line="240" w:lineRule="atLeas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0404E3" w:rsidRPr="00664F6A" w:rsidRDefault="007C7008" w:rsidP="007C7008">
      <w:pPr>
        <w:pStyle w:val="a4"/>
        <w:spacing w:line="240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664F6A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kk-KZ"/>
        </w:rPr>
        <w:t>Еуразиялық экономикалық одаққа мүше мемлекеттердің аумағынан Қазақстан Республикасының аумағына кәсіпкерлік қызмет мақсатында жеке тұлғалар импорттайтын тауарларды, оның ішінде акцизделетін тауарларды жатқызу өлшемшарттары</w:t>
      </w:r>
    </w:p>
    <w:p w:rsidR="00F84042" w:rsidRDefault="00F84042" w:rsidP="00AE6953">
      <w:pPr>
        <w:pStyle w:val="a4"/>
        <w:spacing w:line="240" w:lineRule="atLeas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294DA3" w:rsidRPr="00664F6A" w:rsidRDefault="00294DA3" w:rsidP="00AE6953">
      <w:pPr>
        <w:pStyle w:val="a4"/>
        <w:spacing w:line="240" w:lineRule="atLeas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F412AC" w:rsidRPr="00F412AC" w:rsidRDefault="007C7008" w:rsidP="00F412AC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1.</w:t>
      </w:r>
      <w:r w:rsidR="00F412AC" w:rsidRPr="00F412AC">
        <w:rPr>
          <w:lang w:val="kk-KZ"/>
        </w:rPr>
        <w:t xml:space="preserve"> </w:t>
      </w:r>
      <w:r w:rsidR="00F412AC" w:rsidRPr="00F412AC">
        <w:rPr>
          <w:color w:val="000000"/>
          <w:sz w:val="28"/>
          <w:szCs w:val="28"/>
          <w:lang w:val="kk-KZ"/>
        </w:rPr>
        <w:t xml:space="preserve">Осы Критерийлер, оның </w:t>
      </w:r>
      <w:r w:rsidR="00F412AC">
        <w:rPr>
          <w:color w:val="000000"/>
          <w:sz w:val="28"/>
          <w:szCs w:val="28"/>
          <w:lang w:val="kk-KZ"/>
        </w:rPr>
        <w:t xml:space="preserve">ішінде акцизделетін тауарларды, </w:t>
      </w:r>
      <w:r w:rsidR="00F412AC" w:rsidRPr="00F412AC">
        <w:rPr>
          <w:color w:val="000000"/>
          <w:sz w:val="28"/>
          <w:szCs w:val="28"/>
          <w:lang w:val="kk-KZ"/>
        </w:rPr>
        <w:t>Еуразиялық экономикалық одаққа мүше мемлекеттердің аумағынан Қазақстан Республикасының аумағына жеке тұлғалар кәсіпкерлік қызмет мақсатында әкелетін тауарларға жатқызу тәртібін айқындайды және Қазақстан Республикасының Салық кодексінің 512-бабына сәйкес әзірленген.</w:t>
      </w:r>
    </w:p>
    <w:p w:rsidR="00294DA3" w:rsidRPr="00294DA3" w:rsidRDefault="00F412AC" w:rsidP="00F412AC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2. </w:t>
      </w:r>
      <w:r w:rsidR="00294DA3" w:rsidRPr="00294DA3">
        <w:rPr>
          <w:color w:val="000000"/>
          <w:sz w:val="28"/>
          <w:szCs w:val="28"/>
          <w:lang w:val="kk-KZ"/>
        </w:rPr>
        <w:t>Еуразиялық экономикалық одаққа (бұдан әрі – ЕАЭО) мүше мемлекеттердің аумағынан Қазақстан Республикасының аумағына әкелінетін тауарлардың құны, егер осы Критерийлердің 2-тармағында өзгеше көзделмесе, тиісті қаржы жылының 1 қаңтарына Қазақстан Республикасының республикалық бюджет туралы заңында белгіленген айлық есептік көрсеткіштің 360 еселенген мөлшерінен асып кеткен жағдайда, мұндай әкелу кәсіпкерлік қызмет мақсатында жүзеге асырылған деп танылады.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2. Тауарларды ЕАЭО-ға мүше мемлекеттердің аумағынан 1 (бір) жыл ішінде мынадай мөлшерде әкелу: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жүннен жасалған бұйымдар, оның ішінде бас киімдер – бір адамға бір атаудағы 1 (бір) заттан артық;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ұялы телефон – бір адамға 2 (екі) бірліктен артық;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планшет – бір адамға 2 (екі) бірліктен артық;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стационарлық, портативті (портативті) компьютер және оған керек-жарақтар – бір адамға 2 (екі) бірліктен артық;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зергерлік бұйымдар – бір адамға 5 (бес) астам зат;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велосипед – бір адамға 1 (бір) бірліктен артық;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балалар арбасы – бір адамға 2 (екі) бірліктен артық;</w:t>
      </w:r>
    </w:p>
    <w:p w:rsidR="000F71DA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көлік құралдары, оның ішінде жиналмаған түрінде – 1 (бір) бірліктен артық.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Ескерту: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Осы Өлшемшарттар пайдаланылған және жүру жолында және (немесе) межелі жерде қажетті тауарларға қатысты қолданылмайды:</w:t>
      </w:r>
    </w:p>
    <w:p w:rsidR="007C7008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жүру жолында және (немесе) межелі жерде, оның ішінде маусымдылығын, сапардың мақсатын, көлік түрін ескере отырып пайдалану;</w:t>
      </w:r>
    </w:p>
    <w:p w:rsidR="007C7008" w:rsidRPr="00664F6A" w:rsidRDefault="000E1BBA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t>тозу</w:t>
      </w:r>
      <w:r w:rsidR="007C7008" w:rsidRPr="00664F6A">
        <w:rPr>
          <w:color w:val="000000"/>
          <w:sz w:val="28"/>
          <w:szCs w:val="28"/>
          <w:lang w:val="kk-KZ"/>
        </w:rPr>
        <w:t>, оның ішінде сызаттар, ойықтар, өзге де механикалық зақымданулар, жуу</w:t>
      </w:r>
      <w:r w:rsidRPr="00664F6A">
        <w:rPr>
          <w:color w:val="000000"/>
          <w:sz w:val="28"/>
          <w:szCs w:val="28"/>
          <w:lang w:val="kk-KZ"/>
        </w:rPr>
        <w:t xml:space="preserve"> белгілерінің болуы</w:t>
      </w:r>
      <w:r w:rsidR="007C7008" w:rsidRPr="00664F6A">
        <w:rPr>
          <w:color w:val="000000"/>
          <w:sz w:val="28"/>
          <w:szCs w:val="28"/>
          <w:lang w:val="kk-KZ"/>
        </w:rPr>
        <w:t>;</w:t>
      </w:r>
    </w:p>
    <w:p w:rsidR="00D36D5D" w:rsidRPr="00664F6A" w:rsidRDefault="007C7008" w:rsidP="007C7008">
      <w:pPr>
        <w:spacing w:after="0" w:line="240" w:lineRule="atLeast"/>
        <w:ind w:firstLine="709"/>
        <w:jc w:val="both"/>
        <w:rPr>
          <w:color w:val="000000"/>
          <w:sz w:val="28"/>
          <w:szCs w:val="28"/>
          <w:lang w:val="kk-KZ"/>
        </w:rPr>
      </w:pPr>
      <w:r w:rsidRPr="00664F6A">
        <w:rPr>
          <w:color w:val="000000"/>
          <w:sz w:val="28"/>
          <w:szCs w:val="28"/>
          <w:lang w:val="kk-KZ"/>
        </w:rPr>
        <w:lastRenderedPageBreak/>
        <w:t>биркалардың, затаңбалардың, жапсырмалар</w:t>
      </w:r>
      <w:r w:rsidR="000E1BBA" w:rsidRPr="00664F6A">
        <w:rPr>
          <w:color w:val="000000"/>
          <w:sz w:val="28"/>
          <w:szCs w:val="28"/>
          <w:lang w:val="kk-KZ"/>
        </w:rPr>
        <w:t>дың</w:t>
      </w:r>
      <w:r w:rsidRPr="00664F6A">
        <w:rPr>
          <w:color w:val="000000"/>
          <w:sz w:val="28"/>
          <w:szCs w:val="28"/>
          <w:lang w:val="kk-KZ"/>
        </w:rPr>
        <w:t>, бастапқы қаптамалар</w:t>
      </w:r>
      <w:r w:rsidR="000E1BBA" w:rsidRPr="00664F6A">
        <w:rPr>
          <w:color w:val="000000"/>
          <w:sz w:val="28"/>
          <w:szCs w:val="28"/>
          <w:lang w:val="kk-KZ"/>
        </w:rPr>
        <w:t>дың</w:t>
      </w:r>
      <w:r w:rsidRPr="00664F6A">
        <w:rPr>
          <w:color w:val="000000"/>
          <w:sz w:val="28"/>
          <w:szCs w:val="28"/>
          <w:lang w:val="kk-KZ"/>
        </w:rPr>
        <w:t xml:space="preserve"> </w:t>
      </w:r>
      <w:r w:rsidR="000E1BBA" w:rsidRPr="00664F6A">
        <w:rPr>
          <w:color w:val="000000"/>
          <w:sz w:val="28"/>
          <w:szCs w:val="28"/>
          <w:lang w:val="kk-KZ"/>
        </w:rPr>
        <w:t>болмауы</w:t>
      </w:r>
      <w:r w:rsidRPr="00664F6A">
        <w:rPr>
          <w:color w:val="000000"/>
          <w:sz w:val="28"/>
          <w:szCs w:val="28"/>
          <w:lang w:val="kk-KZ"/>
        </w:rPr>
        <w:t>.</w:t>
      </w:r>
    </w:p>
    <w:sectPr w:rsidR="00D36D5D" w:rsidRPr="00664F6A" w:rsidSect="00A66CE7">
      <w:headerReference w:type="default" r:id="rId7"/>
      <w:pgSz w:w="12240" w:h="15840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BA3" w:rsidRDefault="00966BA3" w:rsidP="00F934AC">
      <w:pPr>
        <w:spacing w:after="0" w:line="240" w:lineRule="auto"/>
      </w:pPr>
      <w:r>
        <w:separator/>
      </w:r>
    </w:p>
  </w:endnote>
  <w:endnote w:type="continuationSeparator" w:id="0">
    <w:p w:rsidR="00966BA3" w:rsidRDefault="00966BA3" w:rsidP="00F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BA3" w:rsidRDefault="00966BA3" w:rsidP="00F934AC">
      <w:pPr>
        <w:spacing w:after="0" w:line="240" w:lineRule="auto"/>
      </w:pPr>
      <w:r>
        <w:separator/>
      </w:r>
    </w:p>
  </w:footnote>
  <w:footnote w:type="continuationSeparator" w:id="0">
    <w:p w:rsidR="00966BA3" w:rsidRDefault="00966BA3" w:rsidP="00F9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704316"/>
      <w:docPartObj>
        <w:docPartGallery w:val="Page Numbers (Top of Page)"/>
        <w:docPartUnique/>
      </w:docPartObj>
    </w:sdtPr>
    <w:sdtEndPr/>
    <w:sdtContent>
      <w:p w:rsidR="00F84042" w:rsidRPr="002B0CB3" w:rsidRDefault="00F84042" w:rsidP="00640849">
        <w:pPr>
          <w:pStyle w:val="a6"/>
          <w:jc w:val="center"/>
          <w:rPr>
            <w:sz w:val="28"/>
          </w:rPr>
        </w:pPr>
        <w:r w:rsidRPr="002B0CB3">
          <w:rPr>
            <w:sz w:val="28"/>
          </w:rPr>
          <w:fldChar w:fldCharType="begin"/>
        </w:r>
        <w:r w:rsidRPr="002B0CB3">
          <w:rPr>
            <w:sz w:val="28"/>
          </w:rPr>
          <w:instrText>PAGE   \* MERGEFORMAT</w:instrText>
        </w:r>
        <w:r w:rsidRPr="002B0CB3">
          <w:rPr>
            <w:sz w:val="28"/>
          </w:rPr>
          <w:fldChar w:fldCharType="separate"/>
        </w:r>
        <w:r w:rsidR="008A57FE" w:rsidRPr="008A57FE">
          <w:rPr>
            <w:noProof/>
            <w:sz w:val="28"/>
            <w:lang w:val="ru-RU"/>
          </w:rPr>
          <w:t>4</w:t>
        </w:r>
        <w:r w:rsidRPr="002B0CB3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4D13"/>
    <w:multiLevelType w:val="hybridMultilevel"/>
    <w:tmpl w:val="11429238"/>
    <w:lvl w:ilvl="0" w:tplc="EB326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50C7B"/>
    <w:multiLevelType w:val="hybridMultilevel"/>
    <w:tmpl w:val="5DA88EF2"/>
    <w:lvl w:ilvl="0" w:tplc="725CA3F6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850602C"/>
    <w:multiLevelType w:val="hybridMultilevel"/>
    <w:tmpl w:val="D52A5EF2"/>
    <w:lvl w:ilvl="0" w:tplc="D2B055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40"/>
    <w:rsid w:val="0000766E"/>
    <w:rsid w:val="000140F4"/>
    <w:rsid w:val="00023D51"/>
    <w:rsid w:val="000404E3"/>
    <w:rsid w:val="00042E8E"/>
    <w:rsid w:val="00043C87"/>
    <w:rsid w:val="0004627C"/>
    <w:rsid w:val="0005303A"/>
    <w:rsid w:val="00085643"/>
    <w:rsid w:val="000B4106"/>
    <w:rsid w:val="000C74E3"/>
    <w:rsid w:val="000E1BBA"/>
    <w:rsid w:val="000F71DA"/>
    <w:rsid w:val="001024F9"/>
    <w:rsid w:val="00103419"/>
    <w:rsid w:val="0011352A"/>
    <w:rsid w:val="001413F0"/>
    <w:rsid w:val="0015588D"/>
    <w:rsid w:val="001558E4"/>
    <w:rsid w:val="00175602"/>
    <w:rsid w:val="001D36F4"/>
    <w:rsid w:val="002142CA"/>
    <w:rsid w:val="00257A45"/>
    <w:rsid w:val="002630A7"/>
    <w:rsid w:val="00265D20"/>
    <w:rsid w:val="0026724A"/>
    <w:rsid w:val="00275442"/>
    <w:rsid w:val="00294DA3"/>
    <w:rsid w:val="002A1E84"/>
    <w:rsid w:val="002A4C02"/>
    <w:rsid w:val="002B0CB3"/>
    <w:rsid w:val="0033122A"/>
    <w:rsid w:val="00360C7A"/>
    <w:rsid w:val="00384BC9"/>
    <w:rsid w:val="003D12D4"/>
    <w:rsid w:val="003E4C34"/>
    <w:rsid w:val="004000FF"/>
    <w:rsid w:val="004659DC"/>
    <w:rsid w:val="00473734"/>
    <w:rsid w:val="00497FC6"/>
    <w:rsid w:val="00511064"/>
    <w:rsid w:val="00530D10"/>
    <w:rsid w:val="00585D15"/>
    <w:rsid w:val="005D2ABA"/>
    <w:rsid w:val="005D474C"/>
    <w:rsid w:val="005E3518"/>
    <w:rsid w:val="005F4A80"/>
    <w:rsid w:val="006305D6"/>
    <w:rsid w:val="00640467"/>
    <w:rsid w:val="00640849"/>
    <w:rsid w:val="00651737"/>
    <w:rsid w:val="00664F6A"/>
    <w:rsid w:val="00671AC8"/>
    <w:rsid w:val="0067350C"/>
    <w:rsid w:val="00685F99"/>
    <w:rsid w:val="00693BB7"/>
    <w:rsid w:val="00693EC1"/>
    <w:rsid w:val="006A7163"/>
    <w:rsid w:val="006E6E3D"/>
    <w:rsid w:val="00767640"/>
    <w:rsid w:val="00780B85"/>
    <w:rsid w:val="007C670D"/>
    <w:rsid w:val="007C7008"/>
    <w:rsid w:val="007D58AE"/>
    <w:rsid w:val="007D61D0"/>
    <w:rsid w:val="00832ECF"/>
    <w:rsid w:val="00837AC5"/>
    <w:rsid w:val="008410C5"/>
    <w:rsid w:val="00867EE6"/>
    <w:rsid w:val="008A57FE"/>
    <w:rsid w:val="008F151A"/>
    <w:rsid w:val="00934120"/>
    <w:rsid w:val="00935EB0"/>
    <w:rsid w:val="00941040"/>
    <w:rsid w:val="00942BDE"/>
    <w:rsid w:val="0095604E"/>
    <w:rsid w:val="00966BA3"/>
    <w:rsid w:val="0096773C"/>
    <w:rsid w:val="00983FA6"/>
    <w:rsid w:val="00986C8F"/>
    <w:rsid w:val="009963BC"/>
    <w:rsid w:val="009A2B3B"/>
    <w:rsid w:val="009B06C5"/>
    <w:rsid w:val="009B3195"/>
    <w:rsid w:val="009B7AD7"/>
    <w:rsid w:val="00A11CD1"/>
    <w:rsid w:val="00A2670B"/>
    <w:rsid w:val="00A27C26"/>
    <w:rsid w:val="00A54E26"/>
    <w:rsid w:val="00A66CE7"/>
    <w:rsid w:val="00AC1056"/>
    <w:rsid w:val="00AE6953"/>
    <w:rsid w:val="00AE7CB7"/>
    <w:rsid w:val="00AF57D1"/>
    <w:rsid w:val="00B33B7C"/>
    <w:rsid w:val="00B33EE6"/>
    <w:rsid w:val="00B35CF5"/>
    <w:rsid w:val="00B56365"/>
    <w:rsid w:val="00B675F1"/>
    <w:rsid w:val="00B74590"/>
    <w:rsid w:val="00B80C1D"/>
    <w:rsid w:val="00BB6D9F"/>
    <w:rsid w:val="00BC0740"/>
    <w:rsid w:val="00BF3A00"/>
    <w:rsid w:val="00BF57EB"/>
    <w:rsid w:val="00BF7425"/>
    <w:rsid w:val="00C51DB8"/>
    <w:rsid w:val="00CA3C58"/>
    <w:rsid w:val="00CA429A"/>
    <w:rsid w:val="00CB262B"/>
    <w:rsid w:val="00CD004C"/>
    <w:rsid w:val="00D0142D"/>
    <w:rsid w:val="00D1660A"/>
    <w:rsid w:val="00D1719E"/>
    <w:rsid w:val="00D36D5D"/>
    <w:rsid w:val="00D505D0"/>
    <w:rsid w:val="00D5694F"/>
    <w:rsid w:val="00D63868"/>
    <w:rsid w:val="00DA3D22"/>
    <w:rsid w:val="00DD1056"/>
    <w:rsid w:val="00DE2BC3"/>
    <w:rsid w:val="00E01BEE"/>
    <w:rsid w:val="00E077D7"/>
    <w:rsid w:val="00E9026F"/>
    <w:rsid w:val="00EB2F9F"/>
    <w:rsid w:val="00EB33EE"/>
    <w:rsid w:val="00EC0844"/>
    <w:rsid w:val="00EF1228"/>
    <w:rsid w:val="00F412AC"/>
    <w:rsid w:val="00F5679B"/>
    <w:rsid w:val="00F84042"/>
    <w:rsid w:val="00F934AC"/>
    <w:rsid w:val="00FA6EB8"/>
    <w:rsid w:val="00FA7206"/>
    <w:rsid w:val="00FB3091"/>
    <w:rsid w:val="00FC09A9"/>
    <w:rsid w:val="00FC40E8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198FC"/>
  <w15:chartTrackingRefBased/>
  <w15:docId w15:val="{0DB61F23-6631-4E9D-996A-0B17DA94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C3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83FA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08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670D"/>
    <w:rPr>
      <w:color w:val="0000FF"/>
      <w:u w:val="single"/>
    </w:rPr>
  </w:style>
  <w:style w:type="paragraph" w:styleId="a4">
    <w:name w:val="No Spacing"/>
    <w:uiPriority w:val="1"/>
    <w:qFormat/>
    <w:rsid w:val="0026724A"/>
    <w:pPr>
      <w:spacing w:after="0" w:line="240" w:lineRule="auto"/>
    </w:pPr>
  </w:style>
  <w:style w:type="paragraph" w:customStyle="1" w:styleId="disclaimer">
    <w:name w:val="disclaimer"/>
    <w:basedOn w:val="a"/>
    <w:rsid w:val="00DE2BC3"/>
    <w:pPr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E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303A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03A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58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83FA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983FA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C08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9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34AC"/>
    <w:rPr>
      <w:rFonts w:ascii="Times New Roman" w:eastAsia="Times New Roman" w:hAnsi="Times New Roman" w:cs="Times New Roman"/>
    </w:rPr>
  </w:style>
  <w:style w:type="table" w:styleId="ad">
    <w:name w:val="Table Grid"/>
    <w:basedOn w:val="a1"/>
    <w:rsid w:val="00E90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Жайлауов Ерлен Сакенович</dc:creator>
  <cp:keywords/>
  <dc:description/>
  <cp:lastModifiedBy>Жайлауов Ерлен Сакенович</cp:lastModifiedBy>
  <cp:revision>10</cp:revision>
  <cp:lastPrinted>2025-08-28T10:54:00Z</cp:lastPrinted>
  <dcterms:created xsi:type="dcterms:W3CDTF">2025-09-17T14:44:00Z</dcterms:created>
  <dcterms:modified xsi:type="dcterms:W3CDTF">2025-10-07T15:39:00Z</dcterms:modified>
</cp:coreProperties>
</file>